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AC" w:rsidRPr="00ED18AC" w:rsidRDefault="00ED18AC" w:rsidP="00ED18AC">
      <w:p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b/>
          <w:bCs/>
          <w:color w:val="3B3B3B"/>
          <w:sz w:val="20"/>
          <w:szCs w:val="20"/>
          <w:lang w:eastAsia="tr-TR"/>
        </w:rPr>
        <w:t>KATILIM ŞARTLARI</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Mimarlar Odası’na kayıtlı mimarların yanı sıra, ilgili kamu kuruluşları, kurumlar, şirketler, üniversite öğrencileri ve araştırmacılar bireysel veya ekip olarak sergiye katılabilirler.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Şirket ya da kurum adına katılan çalışmalarda müellif(</w:t>
      </w:r>
      <w:proofErr w:type="spellStart"/>
      <w:r w:rsidRPr="00ED18AC">
        <w:rPr>
          <w:rFonts w:ascii="Trebuchet MS" w:eastAsia="Times New Roman" w:hAnsi="Trebuchet MS" w:cs="Times New Roman"/>
          <w:color w:val="3B3B3B"/>
          <w:sz w:val="20"/>
          <w:szCs w:val="20"/>
          <w:lang w:eastAsia="tr-TR"/>
        </w:rPr>
        <w:t>ler</w:t>
      </w:r>
      <w:proofErr w:type="spellEnd"/>
      <w:r w:rsidRPr="00ED18AC">
        <w:rPr>
          <w:rFonts w:ascii="Trebuchet MS" w:eastAsia="Times New Roman" w:hAnsi="Trebuchet MS" w:cs="Times New Roman"/>
          <w:color w:val="3B3B3B"/>
          <w:sz w:val="20"/>
          <w:szCs w:val="20"/>
          <w:lang w:eastAsia="tr-TR"/>
        </w:rPr>
        <w:t>)in isminin panoda belirtilmesi zorunludur.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Yapı ve Proje dallarında katılabilmek için, müellif(</w:t>
      </w:r>
      <w:proofErr w:type="spellStart"/>
      <w:r w:rsidRPr="00ED18AC">
        <w:rPr>
          <w:rFonts w:ascii="Trebuchet MS" w:eastAsia="Times New Roman" w:hAnsi="Trebuchet MS" w:cs="Times New Roman"/>
          <w:color w:val="3B3B3B"/>
          <w:sz w:val="20"/>
          <w:szCs w:val="20"/>
          <w:lang w:eastAsia="tr-TR"/>
        </w:rPr>
        <w:t>ler</w:t>
      </w:r>
      <w:proofErr w:type="spellEnd"/>
      <w:r w:rsidRPr="00ED18AC">
        <w:rPr>
          <w:rFonts w:ascii="Trebuchet MS" w:eastAsia="Times New Roman" w:hAnsi="Trebuchet MS" w:cs="Times New Roman"/>
          <w:color w:val="3B3B3B"/>
          <w:sz w:val="20"/>
          <w:szCs w:val="20"/>
          <w:lang w:eastAsia="tr-TR"/>
        </w:rPr>
        <w:t>)in Mimarlar Odası üyesi olması zorunludur.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Fikir Sunumu Dalı’nda sergiye katılmak için mimar olma zorunluluğu yoktur.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 xml:space="preserve">Sergiye, her dalda en fazla 4 ayrı eser ve her biri için en fazla 4 pano ile </w:t>
      </w:r>
      <w:proofErr w:type="spellStart"/>
      <w:r w:rsidRPr="00ED18AC">
        <w:rPr>
          <w:rFonts w:ascii="Trebuchet MS" w:eastAsia="Times New Roman" w:hAnsi="Trebuchet MS" w:cs="Times New Roman"/>
          <w:color w:val="3B3B3B"/>
          <w:sz w:val="20"/>
          <w:szCs w:val="20"/>
          <w:lang w:eastAsia="tr-TR"/>
        </w:rPr>
        <w:t>katılabilinir</w:t>
      </w:r>
      <w:proofErr w:type="spellEnd"/>
      <w:r w:rsidRPr="00ED18AC">
        <w:rPr>
          <w:rFonts w:ascii="Trebuchet MS" w:eastAsia="Times New Roman" w:hAnsi="Trebuchet MS" w:cs="Times New Roman"/>
          <w:color w:val="3B3B3B"/>
          <w:sz w:val="20"/>
          <w:szCs w:val="20"/>
          <w:lang w:eastAsia="tr-TR"/>
        </w:rPr>
        <w:t>.</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Sergiye katılan bir eser, aynı kategoride bir başka dönem tekrar katılamaz.</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Sergiye katılan eserler teslim edildikten sonra geri çekilemez, katalogda yayımlanması kabul edilmiş sayılır. Ayrıca, eserlere ilişkin her türlü yazılı ve görsel belgenin (fotoğraf, çizim vb.) telif hakkının eser sahibinde olduğu ve Programla ilgili her türlü yayında kullanım iznini Mimarlar Odası’na vermiş olduğu kabul edilir.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Sergiye katılacak eser, Mimarlar Odası Onur Kurulu’nca verilmiş bir cezanın ve/veya Mimarlar Odası tarafından kazanılmış aleyhte bir yargı kararının nesnesi olmamalıdır.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Ülkemizde ruhsat ve mesleki denetim uygulaması başladıktan sonra üretilen; ruhsatsız, Mimarlar Odası’nın mesleki denetim işleminden geçirilmeyen ve hakkında ÇED çekince raporu düzenlenen eserler, Yapı ve/ya Proje Dalı’nda sergiye katılamazlar. </w:t>
      </w:r>
      <w:r w:rsidRPr="00ED18AC">
        <w:rPr>
          <w:rFonts w:ascii="Trebuchet MS" w:eastAsia="Times New Roman" w:hAnsi="Trebuchet MS" w:cs="Times New Roman"/>
          <w:color w:val="3B3B3B"/>
          <w:sz w:val="20"/>
          <w:szCs w:val="20"/>
          <w:lang w:eastAsia="tr-TR"/>
        </w:rPr>
        <w:br/>
        <w:t>Yapıya dönüşmemiş ve inşaat ruhsatı alınmamış eserler, Mimarlar Odası’ndan müelliflik ve telif hakkı tescil işlemi yaptırılmış olması şartıyla Proje Dalı’nda katılabilirler.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 Kamu yapıları veya özel statüde üretilen yapıların Yapı Dalı’nda sergiye katılabilmesi için mesleki denetim işleminden geçmiş olması yeterlidir, ruhsat aranmaz.</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Yurtdışında uygulanan yapı ve projelerin katılımı için 8</w:t>
      </w:r>
      <w:proofErr w:type="gramStart"/>
      <w:r w:rsidRPr="00ED18AC">
        <w:rPr>
          <w:rFonts w:ascii="Trebuchet MS" w:eastAsia="Times New Roman" w:hAnsi="Trebuchet MS" w:cs="Times New Roman"/>
          <w:color w:val="3B3B3B"/>
          <w:sz w:val="20"/>
          <w:szCs w:val="20"/>
          <w:lang w:eastAsia="tr-TR"/>
        </w:rPr>
        <w:t>.,</w:t>
      </w:r>
      <w:proofErr w:type="gramEnd"/>
      <w:r w:rsidRPr="00ED18AC">
        <w:rPr>
          <w:rFonts w:ascii="Trebuchet MS" w:eastAsia="Times New Roman" w:hAnsi="Trebuchet MS" w:cs="Times New Roman"/>
          <w:color w:val="3B3B3B"/>
          <w:sz w:val="20"/>
          <w:szCs w:val="20"/>
          <w:lang w:eastAsia="tr-TR"/>
        </w:rPr>
        <w:t xml:space="preserve"> 9. ve 10. maddeler geçerli değildir.</w:t>
      </w:r>
    </w:p>
    <w:p w:rsidR="00ED18AC" w:rsidRPr="00ED18AC" w:rsidRDefault="00ED18AC" w:rsidP="00ED18AC">
      <w:pPr>
        <w:numPr>
          <w:ilvl w:val="0"/>
          <w:numId w:val="1"/>
        </w:num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Yapının tasarım ve uygulama projesini yapan müellifi farklı ise, aralarındaki mutabakatı gösteren yazılı bir belge ve panoda her iki müellifin isminin belirtilmesi ile Yapı Dalı’nda katılımda bulunabilirler.</w:t>
      </w:r>
    </w:p>
    <w:p w:rsidR="00ED18AC" w:rsidRPr="00ED18AC" w:rsidRDefault="00ED18AC" w:rsidP="00ED18AC">
      <w:pPr>
        <w:spacing w:before="100" w:beforeAutospacing="1" w:after="100" w:afterAutospacing="1" w:line="240" w:lineRule="auto"/>
        <w:rPr>
          <w:rFonts w:ascii="Trebuchet MS" w:eastAsia="Times New Roman" w:hAnsi="Trebuchet MS" w:cs="Times New Roman"/>
          <w:color w:val="3B3B3B"/>
          <w:sz w:val="20"/>
          <w:szCs w:val="20"/>
          <w:lang w:eastAsia="tr-TR"/>
        </w:rPr>
      </w:pPr>
      <w:r w:rsidRPr="00ED18AC">
        <w:rPr>
          <w:rFonts w:ascii="Trebuchet MS" w:eastAsia="Times New Roman" w:hAnsi="Trebuchet MS" w:cs="Times New Roman"/>
          <w:color w:val="3B3B3B"/>
          <w:sz w:val="20"/>
          <w:szCs w:val="20"/>
          <w:lang w:eastAsia="tr-TR"/>
        </w:rPr>
        <w:t>Pano Formatı, PSD ve AI olarak www.mo.org.tr/ulusalsergi adresinden indirilebilir.</w:t>
      </w:r>
    </w:p>
    <w:p w:rsidR="00EA5FD3" w:rsidRDefault="00EA5FD3">
      <w:bookmarkStart w:id="0" w:name="_GoBack"/>
      <w:bookmarkEnd w:id="0"/>
    </w:p>
    <w:sectPr w:rsidR="00EA5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32097"/>
    <w:multiLevelType w:val="multilevel"/>
    <w:tmpl w:val="01FA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AC"/>
    <w:rsid w:val="00EA5FD3"/>
    <w:rsid w:val="00ED1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1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1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1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1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2018-05-18T12:00:00Z</dcterms:created>
  <dcterms:modified xsi:type="dcterms:W3CDTF">2018-05-18T12:01:00Z</dcterms:modified>
</cp:coreProperties>
</file>